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1A509" w14:textId="77777777" w:rsidR="000B44BC" w:rsidRPr="000B44BC" w:rsidRDefault="000B44BC" w:rsidP="000B44BC">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0B44BC">
        <w:rPr>
          <w:rFonts w:ascii="Lato" w:eastAsia="Times New Roman" w:hAnsi="Lato" w:cs="Times New Roman"/>
          <w:color w:val="CC3300"/>
          <w:kern w:val="36"/>
          <w:sz w:val="36"/>
          <w:szCs w:val="36"/>
          <w:lang w:eastAsia="fr-BE"/>
          <w14:ligatures w14:val="none"/>
        </w:rPr>
        <w:t>EMME choisit Bordeaux comme lieu d’ancrage</w:t>
      </w:r>
    </w:p>
    <w:p w14:paraId="64581590" w14:textId="77777777" w:rsidR="000B44BC" w:rsidRDefault="000B44BC" w:rsidP="000B44BC">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2395BA65" w14:textId="31535106" w:rsidR="000B44BC" w:rsidRPr="000B44BC" w:rsidRDefault="000B44BC" w:rsidP="000B44B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B44BC">
        <w:rPr>
          <w:rFonts w:ascii="Lato" w:eastAsia="Times New Roman" w:hAnsi="Lato" w:cs="Times New Roman"/>
          <w:b/>
          <w:bCs/>
          <w:color w:val="000000"/>
          <w:kern w:val="0"/>
          <w:sz w:val="23"/>
          <w:szCs w:val="23"/>
          <w:lang w:eastAsia="fr-BE"/>
          <w14:ligatures w14:val="none"/>
        </w:rPr>
        <w:t xml:space="preserve">L’entreprise Electro </w:t>
      </w:r>
      <w:proofErr w:type="spellStart"/>
      <w:r w:rsidRPr="000B44BC">
        <w:rPr>
          <w:rFonts w:ascii="Lato" w:eastAsia="Times New Roman" w:hAnsi="Lato" w:cs="Times New Roman"/>
          <w:b/>
          <w:bCs/>
          <w:color w:val="000000"/>
          <w:kern w:val="0"/>
          <w:sz w:val="23"/>
          <w:szCs w:val="23"/>
          <w:lang w:eastAsia="fr-BE"/>
          <w14:ligatures w14:val="none"/>
        </w:rPr>
        <w:t>Mobility</w:t>
      </w:r>
      <w:proofErr w:type="spellEnd"/>
      <w:r w:rsidRPr="000B44BC">
        <w:rPr>
          <w:rFonts w:ascii="Lato" w:eastAsia="Times New Roman" w:hAnsi="Lato" w:cs="Times New Roman"/>
          <w:b/>
          <w:bCs/>
          <w:color w:val="000000"/>
          <w:kern w:val="0"/>
          <w:sz w:val="23"/>
          <w:szCs w:val="23"/>
          <w:lang w:eastAsia="fr-BE"/>
          <w14:ligatures w14:val="none"/>
        </w:rPr>
        <w:t xml:space="preserve"> Materials Europe prévoit de construire une usine de production de sulfate de nickel, utilisé dans les batteries de véhicules électriques, à Bordeaux. Le projet est en cours de finalisation.</w:t>
      </w:r>
    </w:p>
    <w:p w14:paraId="421C8743" w14:textId="77777777" w:rsidR="000B44BC" w:rsidRPr="000B44BC" w:rsidRDefault="000B44BC" w:rsidP="000B44B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B44BC">
        <w:rPr>
          <w:rFonts w:ascii="Lato" w:eastAsia="Times New Roman" w:hAnsi="Lato" w:cs="Times New Roman"/>
          <w:color w:val="000000"/>
          <w:kern w:val="0"/>
          <w:sz w:val="23"/>
          <w:szCs w:val="23"/>
          <w:lang w:eastAsia="fr-BE"/>
          <w14:ligatures w14:val="none"/>
        </w:rPr>
        <w:t> </w:t>
      </w:r>
    </w:p>
    <w:p w14:paraId="5B7DF59F" w14:textId="77777777" w:rsidR="000B44BC" w:rsidRPr="000B44BC" w:rsidRDefault="000B44BC" w:rsidP="000B44B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B44BC">
        <w:rPr>
          <w:rFonts w:ascii="Lato" w:eastAsia="Times New Roman" w:hAnsi="Lato" w:cs="Times New Roman"/>
          <w:color w:val="000000"/>
          <w:kern w:val="0"/>
          <w:sz w:val="23"/>
          <w:szCs w:val="23"/>
          <w:lang w:eastAsia="fr-BE"/>
          <w14:ligatures w14:val="none"/>
        </w:rPr>
        <w:t>L’usine devrait être érigée sur un terrain d’une surface de 32 hectares sur le Grand port maritime de la ville. Le projet, qui nécessitera un investissement de plus de 300 millions d’euros, est soutenu par un investisseur suisse. « </w:t>
      </w:r>
      <w:r w:rsidRPr="000B44BC">
        <w:rPr>
          <w:rFonts w:ascii="Lato" w:eastAsia="Times New Roman" w:hAnsi="Lato" w:cs="Times New Roman"/>
          <w:i/>
          <w:iCs/>
          <w:color w:val="000000"/>
          <w:kern w:val="0"/>
          <w:sz w:val="23"/>
          <w:szCs w:val="23"/>
          <w:lang w:eastAsia="fr-BE"/>
          <w14:ligatures w14:val="none"/>
        </w:rPr>
        <w:t xml:space="preserve">(…) notre ambition est de proposer une alternative industrielle et scientifique crédible pour sécuriser une partie des approvisionnements des </w:t>
      </w:r>
      <w:proofErr w:type="spellStart"/>
      <w:r w:rsidRPr="000B44BC">
        <w:rPr>
          <w:rFonts w:ascii="Lato" w:eastAsia="Times New Roman" w:hAnsi="Lato" w:cs="Times New Roman"/>
          <w:i/>
          <w:iCs/>
          <w:color w:val="000000"/>
          <w:kern w:val="0"/>
          <w:sz w:val="23"/>
          <w:szCs w:val="23"/>
          <w:lang w:eastAsia="fr-BE"/>
          <w14:ligatures w14:val="none"/>
        </w:rPr>
        <w:t>gigafactories</w:t>
      </w:r>
      <w:proofErr w:type="spellEnd"/>
      <w:r w:rsidRPr="000B44BC">
        <w:rPr>
          <w:rFonts w:ascii="Lato" w:eastAsia="Times New Roman" w:hAnsi="Lato" w:cs="Times New Roman"/>
          <w:i/>
          <w:iCs/>
          <w:color w:val="000000"/>
          <w:kern w:val="0"/>
          <w:sz w:val="23"/>
          <w:szCs w:val="23"/>
          <w:lang w:eastAsia="fr-BE"/>
          <w14:ligatures w14:val="none"/>
        </w:rPr>
        <w:t xml:space="preserve"> de batteries en Europe, mais aussi de faire quelque chose de propre, en divisant par cinq l’empreinte carbone du nickel pour batterie </w:t>
      </w:r>
      <w:r w:rsidRPr="000B44BC">
        <w:rPr>
          <w:rFonts w:ascii="Lato" w:eastAsia="Times New Roman" w:hAnsi="Lato" w:cs="Times New Roman"/>
          <w:color w:val="000000"/>
          <w:kern w:val="0"/>
          <w:sz w:val="23"/>
          <w:szCs w:val="23"/>
          <w:lang w:eastAsia="fr-BE"/>
          <w14:ligatures w14:val="none"/>
        </w:rPr>
        <w:t>», a commenté Antonin Beurrier, le directeur du projet, à nos confrères d’</w:t>
      </w:r>
      <w:r w:rsidRPr="000B44BC">
        <w:rPr>
          <w:rFonts w:ascii="Lato" w:eastAsia="Times New Roman" w:hAnsi="Lato" w:cs="Times New Roman"/>
          <w:i/>
          <w:iCs/>
          <w:color w:val="000000"/>
          <w:kern w:val="0"/>
          <w:sz w:val="23"/>
          <w:szCs w:val="23"/>
          <w:lang w:eastAsia="fr-BE"/>
          <w14:ligatures w14:val="none"/>
        </w:rPr>
        <w:t>Usine Nouvelle</w:t>
      </w:r>
      <w:r w:rsidRPr="000B44BC">
        <w:rPr>
          <w:rFonts w:ascii="Lato" w:eastAsia="Times New Roman" w:hAnsi="Lato" w:cs="Times New Roman"/>
          <w:color w:val="000000"/>
          <w:kern w:val="0"/>
          <w:sz w:val="23"/>
          <w:szCs w:val="23"/>
          <w:lang w:eastAsia="fr-BE"/>
          <w14:ligatures w14:val="none"/>
        </w:rPr>
        <w:t>. Ce dernier a, entre autres, opéré en tant responsable des activités Nickel pour le producteur brésilien </w:t>
      </w:r>
      <w:r w:rsidRPr="000B44BC">
        <w:rPr>
          <w:rFonts w:ascii="Lato" w:eastAsia="Times New Roman" w:hAnsi="Lato" w:cs="Times New Roman"/>
          <w:b/>
          <w:bCs/>
          <w:color w:val="000000"/>
          <w:kern w:val="0"/>
          <w:sz w:val="23"/>
          <w:szCs w:val="23"/>
          <w:lang w:eastAsia="fr-BE"/>
          <w14:ligatures w14:val="none"/>
        </w:rPr>
        <w:t>Vale</w:t>
      </w:r>
      <w:r w:rsidRPr="000B44BC">
        <w:rPr>
          <w:rFonts w:ascii="Lato" w:eastAsia="Times New Roman" w:hAnsi="Lato" w:cs="Times New Roman"/>
          <w:color w:val="000000"/>
          <w:kern w:val="0"/>
          <w:sz w:val="23"/>
          <w:szCs w:val="23"/>
          <w:lang w:eastAsia="fr-BE"/>
          <w14:ligatures w14:val="none"/>
        </w:rPr>
        <w:t xml:space="preserve"> en Asie, </w:t>
      </w:r>
      <w:proofErr w:type="gramStart"/>
      <w:r w:rsidRPr="000B44BC">
        <w:rPr>
          <w:rFonts w:ascii="Lato" w:eastAsia="Times New Roman" w:hAnsi="Lato" w:cs="Times New Roman"/>
          <w:color w:val="000000"/>
          <w:kern w:val="0"/>
          <w:sz w:val="23"/>
          <w:szCs w:val="23"/>
          <w:lang w:eastAsia="fr-BE"/>
          <w14:ligatures w14:val="none"/>
        </w:rPr>
        <w:t>et  dirigé</w:t>
      </w:r>
      <w:proofErr w:type="gramEnd"/>
      <w:r w:rsidRPr="000B44BC">
        <w:rPr>
          <w:rFonts w:ascii="Lato" w:eastAsia="Times New Roman" w:hAnsi="Lato" w:cs="Times New Roman"/>
          <w:color w:val="000000"/>
          <w:kern w:val="0"/>
          <w:sz w:val="23"/>
          <w:szCs w:val="23"/>
          <w:lang w:eastAsia="fr-BE"/>
          <w14:ligatures w14:val="none"/>
        </w:rPr>
        <w:t xml:space="preserve"> l’usine </w:t>
      </w:r>
      <w:proofErr w:type="spellStart"/>
      <w:r w:rsidRPr="000B44BC">
        <w:rPr>
          <w:rFonts w:ascii="Lato" w:eastAsia="Times New Roman" w:hAnsi="Lato" w:cs="Times New Roman"/>
          <w:color w:val="000000"/>
          <w:kern w:val="0"/>
          <w:sz w:val="23"/>
          <w:szCs w:val="23"/>
          <w:lang w:eastAsia="fr-BE"/>
          <w14:ligatures w14:val="none"/>
        </w:rPr>
        <w:t>hydrométallurgique</w:t>
      </w:r>
      <w:proofErr w:type="spellEnd"/>
      <w:r w:rsidRPr="000B44BC">
        <w:rPr>
          <w:rFonts w:ascii="Lato" w:eastAsia="Times New Roman" w:hAnsi="Lato" w:cs="Times New Roman"/>
          <w:color w:val="000000"/>
          <w:kern w:val="0"/>
          <w:sz w:val="23"/>
          <w:szCs w:val="23"/>
          <w:lang w:eastAsia="fr-BE"/>
          <w14:ligatures w14:val="none"/>
        </w:rPr>
        <w:t xml:space="preserve"> de </w:t>
      </w:r>
      <w:proofErr w:type="spellStart"/>
      <w:r w:rsidRPr="000B44BC">
        <w:rPr>
          <w:rFonts w:ascii="Lato" w:eastAsia="Times New Roman" w:hAnsi="Lato" w:cs="Times New Roman"/>
          <w:color w:val="000000"/>
          <w:kern w:val="0"/>
          <w:sz w:val="23"/>
          <w:szCs w:val="23"/>
          <w:lang w:eastAsia="fr-BE"/>
          <w14:ligatures w14:val="none"/>
        </w:rPr>
        <w:t>Goro</w:t>
      </w:r>
      <w:proofErr w:type="spellEnd"/>
      <w:r w:rsidRPr="000B44BC">
        <w:rPr>
          <w:rFonts w:ascii="Lato" w:eastAsia="Times New Roman" w:hAnsi="Lato" w:cs="Times New Roman"/>
          <w:color w:val="000000"/>
          <w:kern w:val="0"/>
          <w:sz w:val="23"/>
          <w:szCs w:val="23"/>
          <w:lang w:eastAsia="fr-BE"/>
          <w14:ligatures w14:val="none"/>
        </w:rPr>
        <w:t>, de </w:t>
      </w:r>
      <w:r w:rsidRPr="000B44BC">
        <w:rPr>
          <w:rFonts w:ascii="Lato" w:eastAsia="Times New Roman" w:hAnsi="Lato" w:cs="Times New Roman"/>
          <w:b/>
          <w:bCs/>
          <w:color w:val="000000"/>
          <w:kern w:val="0"/>
          <w:sz w:val="23"/>
          <w:szCs w:val="23"/>
          <w:lang w:eastAsia="fr-BE"/>
          <w14:ligatures w14:val="none"/>
        </w:rPr>
        <w:t xml:space="preserve">Prony </w:t>
      </w:r>
      <w:proofErr w:type="spellStart"/>
      <w:r w:rsidRPr="000B44BC">
        <w:rPr>
          <w:rFonts w:ascii="Lato" w:eastAsia="Times New Roman" w:hAnsi="Lato" w:cs="Times New Roman"/>
          <w:b/>
          <w:bCs/>
          <w:color w:val="000000"/>
          <w:kern w:val="0"/>
          <w:sz w:val="23"/>
          <w:szCs w:val="23"/>
          <w:lang w:eastAsia="fr-BE"/>
          <w14:ligatures w14:val="none"/>
        </w:rPr>
        <w:t>Resources</w:t>
      </w:r>
      <w:proofErr w:type="spellEnd"/>
      <w:r w:rsidRPr="000B44BC">
        <w:rPr>
          <w:rFonts w:ascii="Lato" w:eastAsia="Times New Roman" w:hAnsi="Lato" w:cs="Times New Roman"/>
          <w:color w:val="000000"/>
          <w:kern w:val="0"/>
          <w:sz w:val="23"/>
          <w:szCs w:val="23"/>
          <w:lang w:eastAsia="fr-BE"/>
          <w14:ligatures w14:val="none"/>
        </w:rPr>
        <w:t>, en Nouvelle-Calédonie.</w:t>
      </w:r>
    </w:p>
    <w:p w14:paraId="0A44BE44" w14:textId="77777777" w:rsidR="000B44BC" w:rsidRPr="000B44BC" w:rsidRDefault="000B44BC" w:rsidP="000B44B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B44BC">
        <w:rPr>
          <w:rFonts w:ascii="Lato" w:eastAsia="Times New Roman" w:hAnsi="Lato" w:cs="Times New Roman"/>
          <w:color w:val="000000"/>
          <w:kern w:val="0"/>
          <w:sz w:val="23"/>
          <w:szCs w:val="23"/>
          <w:lang w:eastAsia="fr-BE"/>
          <w14:ligatures w14:val="none"/>
        </w:rPr>
        <w:t xml:space="preserve">Si le projet a pour but de participer à l’électrification des véhicules, il est également développé de manière à avoir une empreinte carbone nulle sur l’environnement. Le groupe a fait appel à l’architecte Julien de Smedt qui a élaboré une usine fondue dans le paysage grâce à ses toits en terrasse végétalisés. Côté technologie, il s’appuiera sur les savoir-faire des sociétés d’ingénierie Hatch et </w:t>
      </w:r>
      <w:proofErr w:type="spellStart"/>
      <w:r w:rsidRPr="000B44BC">
        <w:rPr>
          <w:rFonts w:ascii="Lato" w:eastAsia="Times New Roman" w:hAnsi="Lato" w:cs="Times New Roman"/>
          <w:color w:val="000000"/>
          <w:kern w:val="0"/>
          <w:sz w:val="23"/>
          <w:szCs w:val="23"/>
          <w:lang w:eastAsia="fr-BE"/>
          <w14:ligatures w14:val="none"/>
        </w:rPr>
        <w:t>Ensi</w:t>
      </w:r>
      <w:proofErr w:type="spellEnd"/>
      <w:r w:rsidRPr="000B44BC">
        <w:rPr>
          <w:rFonts w:ascii="Lato" w:eastAsia="Times New Roman" w:hAnsi="Lato" w:cs="Times New Roman"/>
          <w:color w:val="000000"/>
          <w:kern w:val="0"/>
          <w:sz w:val="23"/>
          <w:szCs w:val="23"/>
          <w:lang w:eastAsia="fr-BE"/>
          <w14:ligatures w14:val="none"/>
        </w:rPr>
        <w:t>. Le site sera classé Seveso, seuil haut, en raison de l’utilisation de produits tels que l’acide sulfurique.</w:t>
      </w:r>
    </w:p>
    <w:p w14:paraId="0A43E097" w14:textId="77777777" w:rsidR="000B44BC" w:rsidRPr="000B44BC" w:rsidRDefault="000B44BC" w:rsidP="000B44B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B44BC">
        <w:rPr>
          <w:rFonts w:ascii="Lato" w:eastAsia="Times New Roman" w:hAnsi="Lato" w:cs="Times New Roman"/>
          <w:color w:val="000000"/>
          <w:kern w:val="0"/>
          <w:sz w:val="23"/>
          <w:szCs w:val="23"/>
          <w:lang w:eastAsia="fr-BE"/>
          <w14:ligatures w14:val="none"/>
        </w:rPr>
        <w:t>Le projet se positionne ainsi en aval de la chaîne d’approvisionnement, un niveau pour l’heure uniquement occupé en Europe par </w:t>
      </w:r>
      <w:proofErr w:type="spellStart"/>
      <w:r w:rsidRPr="000B44BC">
        <w:rPr>
          <w:rFonts w:ascii="Lato" w:eastAsia="Times New Roman" w:hAnsi="Lato" w:cs="Times New Roman"/>
          <w:b/>
          <w:bCs/>
          <w:color w:val="000000"/>
          <w:kern w:val="0"/>
          <w:sz w:val="23"/>
          <w:szCs w:val="23"/>
          <w:lang w:eastAsia="fr-BE"/>
          <w14:ligatures w14:val="none"/>
        </w:rPr>
        <w:t>Terrafame</w:t>
      </w:r>
      <w:proofErr w:type="spellEnd"/>
      <w:r w:rsidRPr="000B44BC">
        <w:rPr>
          <w:rFonts w:ascii="Lato" w:eastAsia="Times New Roman" w:hAnsi="Lato" w:cs="Times New Roman"/>
          <w:b/>
          <w:bCs/>
          <w:color w:val="000000"/>
          <w:kern w:val="0"/>
          <w:sz w:val="23"/>
          <w:szCs w:val="23"/>
          <w:lang w:eastAsia="fr-BE"/>
          <w14:ligatures w14:val="none"/>
        </w:rPr>
        <w:t> </w:t>
      </w:r>
      <w:r w:rsidRPr="000B44BC">
        <w:rPr>
          <w:rFonts w:ascii="Lato" w:eastAsia="Times New Roman" w:hAnsi="Lato" w:cs="Times New Roman"/>
          <w:color w:val="000000"/>
          <w:kern w:val="0"/>
          <w:sz w:val="23"/>
          <w:szCs w:val="23"/>
          <w:lang w:eastAsia="fr-BE"/>
          <w14:ligatures w14:val="none"/>
        </w:rPr>
        <w:t>et </w:t>
      </w:r>
      <w:proofErr w:type="spellStart"/>
      <w:r w:rsidRPr="000B44BC">
        <w:rPr>
          <w:rFonts w:ascii="Lato" w:eastAsia="Times New Roman" w:hAnsi="Lato" w:cs="Times New Roman"/>
          <w:b/>
          <w:bCs/>
          <w:color w:val="000000"/>
          <w:kern w:val="0"/>
          <w:sz w:val="23"/>
          <w:szCs w:val="23"/>
          <w:lang w:eastAsia="fr-BE"/>
          <w14:ligatures w14:val="none"/>
        </w:rPr>
        <w:t>Nornickel</w:t>
      </w:r>
      <w:proofErr w:type="spellEnd"/>
      <w:r w:rsidRPr="000B44BC">
        <w:rPr>
          <w:rFonts w:ascii="Lato" w:eastAsia="Times New Roman" w:hAnsi="Lato" w:cs="Times New Roman"/>
          <w:color w:val="000000"/>
          <w:kern w:val="0"/>
          <w:sz w:val="23"/>
          <w:szCs w:val="23"/>
          <w:lang w:eastAsia="fr-BE"/>
          <w14:ligatures w14:val="none"/>
        </w:rPr>
        <w:t xml:space="preserve">, en Finlande. En France, </w:t>
      </w:r>
      <w:proofErr w:type="spellStart"/>
      <w:r w:rsidRPr="000B44BC">
        <w:rPr>
          <w:rFonts w:ascii="Lato" w:eastAsia="Times New Roman" w:hAnsi="Lato" w:cs="Times New Roman"/>
          <w:color w:val="000000"/>
          <w:kern w:val="0"/>
          <w:sz w:val="23"/>
          <w:szCs w:val="23"/>
          <w:lang w:eastAsia="fr-BE"/>
          <w14:ligatures w14:val="none"/>
        </w:rPr>
        <w:t>Sibanye</w:t>
      </w:r>
      <w:proofErr w:type="spellEnd"/>
      <w:r w:rsidRPr="000B44BC">
        <w:rPr>
          <w:rFonts w:ascii="Lato" w:eastAsia="Times New Roman" w:hAnsi="Lato" w:cs="Times New Roman"/>
          <w:color w:val="000000"/>
          <w:kern w:val="0"/>
          <w:sz w:val="23"/>
          <w:szCs w:val="23"/>
          <w:lang w:eastAsia="fr-BE"/>
          <w14:ligatures w14:val="none"/>
        </w:rPr>
        <w:t>-Stillwater, qui a racheté la raffinerie de nickel de Sandouville d’</w:t>
      </w:r>
      <w:proofErr w:type="spellStart"/>
      <w:r w:rsidRPr="000B44BC">
        <w:rPr>
          <w:rFonts w:ascii="Lato" w:eastAsia="Times New Roman" w:hAnsi="Lato" w:cs="Times New Roman"/>
          <w:b/>
          <w:bCs/>
          <w:color w:val="000000"/>
          <w:kern w:val="0"/>
          <w:sz w:val="23"/>
          <w:szCs w:val="23"/>
          <w:lang w:eastAsia="fr-BE"/>
          <w14:ligatures w14:val="none"/>
        </w:rPr>
        <w:t>Eramet</w:t>
      </w:r>
      <w:proofErr w:type="spellEnd"/>
      <w:r w:rsidRPr="000B44BC">
        <w:rPr>
          <w:rFonts w:ascii="Lato" w:eastAsia="Times New Roman" w:hAnsi="Lato" w:cs="Times New Roman"/>
          <w:color w:val="000000"/>
          <w:kern w:val="0"/>
          <w:sz w:val="23"/>
          <w:szCs w:val="23"/>
          <w:lang w:eastAsia="fr-BE"/>
          <w14:ligatures w14:val="none"/>
        </w:rPr>
        <w:t>, a produit du sulfate mais a abandonné la production au profit du nickel métallique. </w:t>
      </w:r>
    </w:p>
    <w:p w14:paraId="690BC8EF" w14:textId="77777777" w:rsidR="000B44BC" w:rsidRPr="000B44BC" w:rsidRDefault="000B44BC" w:rsidP="000B44BC">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0B44BC">
        <w:rPr>
          <w:rFonts w:ascii="Lato" w:eastAsia="Times New Roman" w:hAnsi="Lato" w:cs="Times New Roman"/>
          <w:color w:val="000000"/>
          <w:kern w:val="0"/>
          <w:sz w:val="23"/>
          <w:szCs w:val="23"/>
          <w:lang w:eastAsia="fr-BE"/>
          <w14:ligatures w14:val="none"/>
        </w:rPr>
        <w:t xml:space="preserve">En 2027, au terme de deux années de travaux, l’usine débutera à un rythme initial de 130.000 tonnes de sulfate par an, soit l’équivalent de 20.000 tonnes de nickel et 2000 tonnes de cobalt. L’usine traitera des produits intermédiaires qui contiennent du nickel et du cobalt. Dans un premier temps, elle transformera du MHP (mixed-hydroxyde </w:t>
      </w:r>
      <w:proofErr w:type="spellStart"/>
      <w:r w:rsidRPr="000B44BC">
        <w:rPr>
          <w:rFonts w:ascii="Lato" w:eastAsia="Times New Roman" w:hAnsi="Lato" w:cs="Times New Roman"/>
          <w:color w:val="000000"/>
          <w:kern w:val="0"/>
          <w:sz w:val="23"/>
          <w:szCs w:val="23"/>
          <w:lang w:eastAsia="fr-BE"/>
          <w14:ligatures w14:val="none"/>
        </w:rPr>
        <w:t>precipitate</w:t>
      </w:r>
      <w:proofErr w:type="spellEnd"/>
      <w:r w:rsidRPr="000B44BC">
        <w:rPr>
          <w:rFonts w:ascii="Lato" w:eastAsia="Times New Roman" w:hAnsi="Lato" w:cs="Times New Roman"/>
          <w:color w:val="000000"/>
          <w:kern w:val="0"/>
          <w:sz w:val="23"/>
          <w:szCs w:val="23"/>
          <w:lang w:eastAsia="fr-BE"/>
          <w14:ligatures w14:val="none"/>
        </w:rPr>
        <w:t>) et, au-delà, elle élargira ses intrants à la matte de nickel et aux MSP (mixed-</w:t>
      </w:r>
      <w:proofErr w:type="spellStart"/>
      <w:r w:rsidRPr="000B44BC">
        <w:rPr>
          <w:rFonts w:ascii="Lato" w:eastAsia="Times New Roman" w:hAnsi="Lato" w:cs="Times New Roman"/>
          <w:color w:val="000000"/>
          <w:kern w:val="0"/>
          <w:sz w:val="23"/>
          <w:szCs w:val="23"/>
          <w:lang w:eastAsia="fr-BE"/>
          <w14:ligatures w14:val="none"/>
        </w:rPr>
        <w:t>sulphide</w:t>
      </w:r>
      <w:proofErr w:type="spellEnd"/>
      <w:r w:rsidRPr="000B44BC">
        <w:rPr>
          <w:rFonts w:ascii="Lato" w:eastAsia="Times New Roman" w:hAnsi="Lato" w:cs="Times New Roman"/>
          <w:color w:val="000000"/>
          <w:kern w:val="0"/>
          <w:sz w:val="23"/>
          <w:szCs w:val="23"/>
          <w:lang w:eastAsia="fr-BE"/>
          <w14:ligatures w14:val="none"/>
        </w:rPr>
        <w:t xml:space="preserve"> </w:t>
      </w:r>
      <w:proofErr w:type="spellStart"/>
      <w:r w:rsidRPr="000B44BC">
        <w:rPr>
          <w:rFonts w:ascii="Lato" w:eastAsia="Times New Roman" w:hAnsi="Lato" w:cs="Times New Roman"/>
          <w:color w:val="000000"/>
          <w:kern w:val="0"/>
          <w:sz w:val="23"/>
          <w:szCs w:val="23"/>
          <w:lang w:eastAsia="fr-BE"/>
          <w14:ligatures w14:val="none"/>
        </w:rPr>
        <w:t>precipitate</w:t>
      </w:r>
      <w:proofErr w:type="spellEnd"/>
      <w:r w:rsidRPr="000B44BC">
        <w:rPr>
          <w:rFonts w:ascii="Lato" w:eastAsia="Times New Roman" w:hAnsi="Lato" w:cs="Times New Roman"/>
          <w:color w:val="000000"/>
          <w:kern w:val="0"/>
          <w:sz w:val="23"/>
          <w:szCs w:val="23"/>
          <w:lang w:eastAsia="fr-BE"/>
          <w14:ligatures w14:val="none"/>
        </w:rPr>
        <w:t>).  Elle prévoit également de transformer de la </w:t>
      </w:r>
      <w:r w:rsidRPr="000B44BC">
        <w:rPr>
          <w:rFonts w:ascii="Lato" w:eastAsia="Times New Roman" w:hAnsi="Lato" w:cs="Times New Roman"/>
          <w:i/>
          <w:iCs/>
          <w:color w:val="000000"/>
          <w:kern w:val="0"/>
          <w:sz w:val="23"/>
          <w:szCs w:val="23"/>
          <w:lang w:eastAsia="fr-BE"/>
          <w14:ligatures w14:val="none"/>
        </w:rPr>
        <w:t>black mass</w:t>
      </w:r>
      <w:r w:rsidRPr="000B44BC">
        <w:rPr>
          <w:rFonts w:ascii="Lato" w:eastAsia="Times New Roman" w:hAnsi="Lato" w:cs="Times New Roman"/>
          <w:color w:val="000000"/>
          <w:kern w:val="0"/>
          <w:sz w:val="23"/>
          <w:szCs w:val="23"/>
          <w:lang w:eastAsia="fr-BE"/>
          <w14:ligatures w14:val="none"/>
        </w:rPr>
        <w:t> (résultat du broyage des cellules de batteries). L’usine importera ces produits intermédiaires, en s’orientant en premier lieu vers les productions bas carbone et ESG, depuis la Nouvelle-Calédonie, l’Australie, le Brésil ou encore le Canada. L’Indonésie n’est pas écartée. La difficulté pour l’usine sera de trouver des clients prêts à payer le prix pour un produit vert ; la création d’une prime bas carbone pourrait soutenir le projet, qui va bénéficier d’aides publiques.</w:t>
      </w:r>
    </w:p>
    <w:p w14:paraId="47FE43DA"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BC"/>
    <w:rsid w:val="000B44BC"/>
    <w:rsid w:val="002874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3996"/>
  <w15:chartTrackingRefBased/>
  <w15:docId w15:val="{6DC0E894-7986-477E-9596-FDB17522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B44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B44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B44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B44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B44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B44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B44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B44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B44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44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B44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B44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B44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B44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B44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B44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B44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B44BC"/>
    <w:rPr>
      <w:rFonts w:eastAsiaTheme="majorEastAsia" w:cstheme="majorBidi"/>
      <w:color w:val="272727" w:themeColor="text1" w:themeTint="D8"/>
    </w:rPr>
  </w:style>
  <w:style w:type="paragraph" w:styleId="Titre">
    <w:name w:val="Title"/>
    <w:basedOn w:val="Normal"/>
    <w:next w:val="Normal"/>
    <w:link w:val="TitreCar"/>
    <w:uiPriority w:val="10"/>
    <w:qFormat/>
    <w:rsid w:val="000B44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B44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B44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B44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B44BC"/>
    <w:pPr>
      <w:spacing w:before="160"/>
      <w:jc w:val="center"/>
    </w:pPr>
    <w:rPr>
      <w:i/>
      <w:iCs/>
      <w:color w:val="404040" w:themeColor="text1" w:themeTint="BF"/>
    </w:rPr>
  </w:style>
  <w:style w:type="character" w:customStyle="1" w:styleId="CitationCar">
    <w:name w:val="Citation Car"/>
    <w:basedOn w:val="Policepardfaut"/>
    <w:link w:val="Citation"/>
    <w:uiPriority w:val="29"/>
    <w:rsid w:val="000B44BC"/>
    <w:rPr>
      <w:i/>
      <w:iCs/>
      <w:color w:val="404040" w:themeColor="text1" w:themeTint="BF"/>
    </w:rPr>
  </w:style>
  <w:style w:type="paragraph" w:styleId="Paragraphedeliste">
    <w:name w:val="List Paragraph"/>
    <w:basedOn w:val="Normal"/>
    <w:uiPriority w:val="34"/>
    <w:qFormat/>
    <w:rsid w:val="000B44BC"/>
    <w:pPr>
      <w:ind w:left="720"/>
      <w:contextualSpacing/>
    </w:pPr>
  </w:style>
  <w:style w:type="character" w:styleId="Accentuationintense">
    <w:name w:val="Intense Emphasis"/>
    <w:basedOn w:val="Policepardfaut"/>
    <w:uiPriority w:val="21"/>
    <w:qFormat/>
    <w:rsid w:val="000B44BC"/>
    <w:rPr>
      <w:i/>
      <w:iCs/>
      <w:color w:val="0F4761" w:themeColor="accent1" w:themeShade="BF"/>
    </w:rPr>
  </w:style>
  <w:style w:type="paragraph" w:styleId="Citationintense">
    <w:name w:val="Intense Quote"/>
    <w:basedOn w:val="Normal"/>
    <w:next w:val="Normal"/>
    <w:link w:val="CitationintenseCar"/>
    <w:uiPriority w:val="30"/>
    <w:qFormat/>
    <w:rsid w:val="000B44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B44BC"/>
    <w:rPr>
      <w:i/>
      <w:iCs/>
      <w:color w:val="0F4761" w:themeColor="accent1" w:themeShade="BF"/>
    </w:rPr>
  </w:style>
  <w:style w:type="character" w:styleId="Rfrenceintense">
    <w:name w:val="Intense Reference"/>
    <w:basedOn w:val="Policepardfaut"/>
    <w:uiPriority w:val="32"/>
    <w:qFormat/>
    <w:rsid w:val="000B44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2480</Characters>
  <Application>Microsoft Office Word</Application>
  <DocSecurity>0</DocSecurity>
  <Lines>20</Lines>
  <Paragraphs>5</Paragraphs>
  <ScaleCrop>false</ScaleCrop>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2024-04-29T05:44:00Z</dcterms:created>
  <dcterms:modified xsi:type="dcterms:W3CDTF">2024-04-29T05:44:00Z</dcterms:modified>
</cp:coreProperties>
</file>